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r>
        <w:rPr>
          <w:rFonts w:hint="eastAsia" w:ascii="仿宋" w:hAnsi="仿宋" w:eastAsia="仿宋"/>
          <w:sz w:val="32"/>
          <w:szCs w:val="32"/>
        </w:rPr>
        <w:t>附件1</w:t>
      </w:r>
    </w:p>
    <w:p>
      <w:pPr>
        <w:jc w:val="center"/>
        <w:rPr>
          <w:rFonts w:ascii="方正小标宋简体" w:hAnsi="仿宋" w:eastAsia="方正小标宋简体"/>
          <w:b/>
          <w:bCs/>
          <w:sz w:val="44"/>
          <w:szCs w:val="44"/>
        </w:rPr>
      </w:pPr>
      <w:r>
        <w:rPr>
          <w:rFonts w:hint="eastAsia" w:ascii="方正小标宋简体" w:hAnsi="仿宋" w:eastAsia="方正小标宋简体"/>
          <w:b/>
          <w:bCs/>
          <w:sz w:val="44"/>
          <w:szCs w:val="44"/>
        </w:rPr>
        <w:t>福建省高校“金融知识校园行”系列教育</w:t>
      </w:r>
    </w:p>
    <w:p>
      <w:pPr>
        <w:jc w:val="center"/>
        <w:rPr>
          <w:rFonts w:ascii="方正小标宋简体" w:hAnsi="仿宋" w:eastAsia="方正小标宋简体"/>
          <w:b/>
          <w:bCs/>
          <w:sz w:val="44"/>
          <w:szCs w:val="44"/>
        </w:rPr>
      </w:pPr>
      <w:r>
        <w:rPr>
          <w:rFonts w:hint="eastAsia" w:ascii="方正小标宋简体" w:hAnsi="仿宋" w:eastAsia="方正小标宋简体"/>
          <w:b/>
          <w:bCs/>
          <w:sz w:val="44"/>
          <w:szCs w:val="44"/>
        </w:rPr>
        <w:t>主题活动方案</w:t>
      </w:r>
    </w:p>
    <w:p>
      <w:pPr>
        <w:jc w:val="center"/>
        <w:rPr>
          <w:rFonts w:ascii="方正小标宋简体" w:hAnsi="仿宋" w:eastAsia="方正小标宋简体"/>
          <w:sz w:val="44"/>
          <w:szCs w:val="44"/>
        </w:rPr>
      </w:pPr>
    </w:p>
    <w:p>
      <w:pPr>
        <w:spacing w:line="540" w:lineRule="exact"/>
        <w:rPr>
          <w:rFonts w:ascii="仿宋" w:hAnsi="仿宋" w:eastAsia="仿宋"/>
          <w:sz w:val="32"/>
          <w:szCs w:val="32"/>
        </w:rPr>
      </w:pPr>
      <w:r>
        <w:rPr>
          <w:rFonts w:hint="eastAsia" w:ascii="仿宋" w:hAnsi="仿宋" w:eastAsia="仿宋"/>
          <w:sz w:val="32"/>
          <w:szCs w:val="32"/>
        </w:rPr>
        <w:t xml:space="preserve">    为</w:t>
      </w:r>
      <w:r>
        <w:rPr>
          <w:rFonts w:ascii="仿宋" w:hAnsi="仿宋" w:eastAsia="仿宋"/>
          <w:sz w:val="32"/>
          <w:szCs w:val="32"/>
        </w:rPr>
        <w:t>提</w:t>
      </w:r>
      <w:r>
        <w:rPr>
          <w:rFonts w:hint="eastAsia" w:ascii="仿宋" w:hAnsi="仿宋" w:eastAsia="仿宋"/>
          <w:sz w:val="32"/>
          <w:szCs w:val="32"/>
        </w:rPr>
        <w:t>升高校学生</w:t>
      </w:r>
      <w:r>
        <w:rPr>
          <w:rFonts w:ascii="仿宋" w:hAnsi="仿宋" w:eastAsia="仿宋"/>
          <w:sz w:val="32"/>
          <w:szCs w:val="32"/>
        </w:rPr>
        <w:t>的综合素质,强化资助育人效果</w:t>
      </w:r>
      <w:r>
        <w:rPr>
          <w:rFonts w:hint="eastAsia" w:ascii="仿宋" w:hAnsi="仿宋" w:eastAsia="仿宋"/>
          <w:sz w:val="32"/>
          <w:szCs w:val="32"/>
        </w:rPr>
        <w:t>，加大资助信贷体系建设力度，普及金融知识、增强学生风险防范意识，省教育厅、省财政厅和中国人民银行福州中心支行决定联合开展“金融知识校园行”系列</w:t>
      </w:r>
      <w:r>
        <w:rPr>
          <w:rFonts w:ascii="仿宋" w:hAnsi="仿宋" w:eastAsia="仿宋"/>
          <w:sz w:val="32"/>
          <w:szCs w:val="32"/>
        </w:rPr>
        <w:t>教育</w:t>
      </w:r>
      <w:r>
        <w:rPr>
          <w:rFonts w:hint="eastAsia" w:ascii="仿宋" w:hAnsi="仿宋" w:eastAsia="仿宋"/>
          <w:sz w:val="32"/>
          <w:szCs w:val="32"/>
        </w:rPr>
        <w:t>主题</w:t>
      </w:r>
      <w:r>
        <w:rPr>
          <w:rFonts w:ascii="仿宋" w:hAnsi="仿宋" w:eastAsia="仿宋"/>
          <w:sz w:val="32"/>
          <w:szCs w:val="32"/>
        </w:rPr>
        <w:t>活动</w:t>
      </w:r>
      <w:r>
        <w:rPr>
          <w:rFonts w:hint="eastAsia" w:ascii="仿宋" w:hAnsi="仿宋" w:eastAsia="仿宋"/>
          <w:sz w:val="32"/>
          <w:szCs w:val="32"/>
        </w:rPr>
        <w:t>。现将有关事项通知如下：</w:t>
      </w:r>
    </w:p>
    <w:p>
      <w:pPr>
        <w:spacing w:line="540" w:lineRule="exact"/>
        <w:rPr>
          <w:rFonts w:ascii="仿宋" w:hAnsi="仿宋" w:eastAsia="仿宋"/>
          <w:sz w:val="32"/>
          <w:szCs w:val="32"/>
        </w:rPr>
      </w:pPr>
      <w:r>
        <w:rPr>
          <w:rFonts w:hint="eastAsia" w:ascii="仿宋" w:hAnsi="仿宋" w:eastAsia="仿宋"/>
          <w:sz w:val="32"/>
          <w:szCs w:val="32"/>
        </w:rPr>
        <w:t xml:space="preserve">    一、活动主题和口号</w:t>
      </w:r>
    </w:p>
    <w:p>
      <w:pPr>
        <w:spacing w:line="540" w:lineRule="exact"/>
        <w:rPr>
          <w:rFonts w:ascii="仿宋" w:hAnsi="仿宋" w:eastAsia="仿宋"/>
          <w:sz w:val="32"/>
          <w:szCs w:val="32"/>
        </w:rPr>
      </w:pPr>
      <w:r>
        <w:rPr>
          <w:rFonts w:hint="eastAsia" w:ascii="仿宋" w:hAnsi="仿宋" w:eastAsia="仿宋"/>
          <w:sz w:val="32"/>
          <w:szCs w:val="32"/>
        </w:rPr>
        <w:t xml:space="preserve">    活动主题：感恩资助·励志成才·守信青春。</w:t>
      </w:r>
    </w:p>
    <w:p>
      <w:pPr>
        <w:spacing w:line="540" w:lineRule="exact"/>
        <w:rPr>
          <w:rFonts w:ascii="仿宋" w:hAnsi="仿宋" w:eastAsia="仿宋"/>
          <w:sz w:val="32"/>
          <w:szCs w:val="32"/>
        </w:rPr>
      </w:pPr>
      <w:r>
        <w:rPr>
          <w:rFonts w:hint="eastAsia" w:ascii="仿宋" w:hAnsi="仿宋" w:eastAsia="仿宋"/>
          <w:sz w:val="32"/>
          <w:szCs w:val="32"/>
        </w:rPr>
        <w:t xml:space="preserve">    活动口号：走进金融，守信青春。</w:t>
      </w:r>
    </w:p>
    <w:p>
      <w:pPr>
        <w:spacing w:line="540" w:lineRule="exact"/>
        <w:rPr>
          <w:rFonts w:ascii="仿宋" w:hAnsi="仿宋" w:eastAsia="仿宋"/>
          <w:sz w:val="32"/>
          <w:szCs w:val="32"/>
        </w:rPr>
      </w:pPr>
      <w:r>
        <w:rPr>
          <w:rFonts w:hint="eastAsia" w:ascii="仿宋" w:hAnsi="仿宋" w:eastAsia="仿宋"/>
          <w:sz w:val="32"/>
          <w:szCs w:val="32"/>
        </w:rPr>
        <w:t xml:space="preserve">    二、活动主旨</w:t>
      </w:r>
    </w:p>
    <w:p>
      <w:pPr>
        <w:spacing w:line="540" w:lineRule="exact"/>
        <w:rPr>
          <w:rFonts w:ascii="仿宋" w:hAnsi="仿宋" w:eastAsia="仿宋"/>
          <w:sz w:val="32"/>
          <w:szCs w:val="32"/>
        </w:rPr>
      </w:pPr>
      <w:r>
        <w:rPr>
          <w:rFonts w:hint="eastAsia" w:ascii="仿宋" w:hAnsi="仿宋" w:eastAsia="仿宋"/>
          <w:sz w:val="32"/>
          <w:szCs w:val="32"/>
        </w:rPr>
        <w:t xml:space="preserve">   （一）针对时下多发的电信网络新型违法犯罪、非法买卖银行卡、违法购付汇、网购陷阱以及校园贷、P2P等小额借贷、冒充助学金发放等常见诈骗手段，加强金融风险责任意识教育，提高高校学生的金融认知能力，以及对金融风险的识别能力，增强防范意识。</w:t>
      </w:r>
    </w:p>
    <w:p>
      <w:pPr>
        <w:spacing w:line="540" w:lineRule="exact"/>
        <w:rPr>
          <w:rFonts w:ascii="仿宋" w:hAnsi="仿宋" w:eastAsia="仿宋"/>
          <w:sz w:val="32"/>
          <w:szCs w:val="32"/>
        </w:rPr>
      </w:pPr>
      <w:r>
        <w:rPr>
          <w:rFonts w:hint="eastAsia" w:ascii="仿宋" w:hAnsi="仿宋" w:eastAsia="仿宋"/>
          <w:sz w:val="32"/>
          <w:szCs w:val="32"/>
        </w:rPr>
        <w:t xml:space="preserve">   （二）深入开展感恩、诚信教育，培养学生诚信意识，对国家助学贷款申办</w:t>
      </w:r>
      <w:r>
        <w:rPr>
          <w:rFonts w:ascii="仿宋" w:hAnsi="仿宋" w:eastAsia="仿宋"/>
          <w:sz w:val="32"/>
          <w:szCs w:val="32"/>
        </w:rPr>
        <w:t>对象、认定标准、贷款款项使用、贷款期限、贷款利率</w:t>
      </w:r>
      <w:r>
        <w:rPr>
          <w:rFonts w:hint="eastAsia" w:ascii="仿宋" w:hAnsi="仿宋" w:eastAsia="仿宋"/>
          <w:sz w:val="32"/>
          <w:szCs w:val="32"/>
        </w:rPr>
        <w:t>、还款事宜</w:t>
      </w:r>
      <w:r>
        <w:rPr>
          <w:rFonts w:ascii="仿宋" w:hAnsi="仿宋" w:eastAsia="仿宋"/>
          <w:sz w:val="32"/>
          <w:szCs w:val="32"/>
        </w:rPr>
        <w:t>等进行</w:t>
      </w:r>
      <w:r>
        <w:rPr>
          <w:rFonts w:hint="eastAsia" w:ascii="仿宋" w:hAnsi="仿宋" w:eastAsia="仿宋"/>
          <w:sz w:val="32"/>
          <w:szCs w:val="32"/>
        </w:rPr>
        <w:t>讲解，帮助学生了解贷款违约产生的严重后果，提醒学生及时履行国家助学贷款还款义务。</w:t>
      </w:r>
    </w:p>
    <w:p>
      <w:pPr>
        <w:spacing w:line="540" w:lineRule="exact"/>
        <w:rPr>
          <w:rFonts w:ascii="仿宋" w:hAnsi="仿宋" w:eastAsia="仿宋"/>
          <w:sz w:val="32"/>
          <w:szCs w:val="32"/>
        </w:rPr>
      </w:pPr>
      <w:r>
        <w:rPr>
          <w:rFonts w:hint="eastAsia" w:ascii="仿宋" w:hAnsi="仿宋" w:eastAsia="仿宋"/>
          <w:sz w:val="32"/>
          <w:szCs w:val="32"/>
        </w:rPr>
        <w:t xml:space="preserve">    三、活动形式</w:t>
      </w:r>
    </w:p>
    <w:p>
      <w:pPr>
        <w:spacing w:line="540" w:lineRule="exact"/>
        <w:rPr>
          <w:rFonts w:ascii="仿宋" w:hAnsi="仿宋" w:eastAsia="仿宋"/>
          <w:sz w:val="32"/>
          <w:szCs w:val="32"/>
        </w:rPr>
      </w:pPr>
      <w:r>
        <w:rPr>
          <w:rFonts w:hint="eastAsia" w:ascii="仿宋" w:hAnsi="仿宋" w:eastAsia="仿宋"/>
          <w:sz w:val="32"/>
          <w:szCs w:val="32"/>
        </w:rPr>
        <w:t xml:space="preserve">   （一）金融知识讲座。由人民银行和银行业金融机构的业务骨干、高校金融专业导师组成金融知识宣讲团，</w:t>
      </w:r>
      <w:r>
        <w:rPr>
          <w:rFonts w:ascii="仿宋" w:hAnsi="仿宋" w:eastAsia="仿宋"/>
          <w:sz w:val="32"/>
          <w:szCs w:val="32"/>
        </w:rPr>
        <w:t>结合日常工作中积累的实际案例</w:t>
      </w:r>
      <w:r>
        <w:rPr>
          <w:rFonts w:hint="eastAsia" w:ascii="仿宋" w:hAnsi="仿宋" w:eastAsia="仿宋"/>
          <w:sz w:val="32"/>
          <w:szCs w:val="32"/>
        </w:rPr>
        <w:t>，入校开展金融知识相关讲座。</w:t>
      </w:r>
    </w:p>
    <w:p>
      <w:pPr>
        <w:spacing w:line="540" w:lineRule="exact"/>
        <w:rPr>
          <w:rFonts w:ascii="仿宋" w:hAnsi="仿宋" w:eastAsia="仿宋"/>
          <w:sz w:val="32"/>
          <w:szCs w:val="32"/>
        </w:rPr>
      </w:pPr>
      <w:r>
        <w:rPr>
          <w:rFonts w:hint="eastAsia" w:ascii="仿宋" w:hAnsi="仿宋" w:eastAsia="仿宋"/>
          <w:sz w:val="32"/>
          <w:szCs w:val="32"/>
        </w:rPr>
        <w:t xml:space="preserve">   （二）金融知识展览。</w:t>
      </w:r>
      <w:r>
        <w:rPr>
          <w:rFonts w:ascii="仿宋" w:hAnsi="仿宋" w:eastAsia="仿宋"/>
          <w:sz w:val="32"/>
          <w:szCs w:val="32"/>
        </w:rPr>
        <w:t>采用文字、图表、音像、漫画等多种形式，宣传普及金融知识，培养</w:t>
      </w:r>
      <w:r>
        <w:rPr>
          <w:rFonts w:hint="eastAsia" w:ascii="仿宋" w:hAnsi="仿宋" w:eastAsia="仿宋"/>
          <w:sz w:val="32"/>
          <w:szCs w:val="32"/>
        </w:rPr>
        <w:t>学生</w:t>
      </w:r>
      <w:r>
        <w:rPr>
          <w:rFonts w:ascii="仿宋" w:hAnsi="仿宋" w:eastAsia="仿宋"/>
          <w:sz w:val="32"/>
          <w:szCs w:val="32"/>
        </w:rPr>
        <w:t>的金融风险</w:t>
      </w:r>
      <w:r>
        <w:rPr>
          <w:rFonts w:hint="eastAsia" w:ascii="仿宋" w:hAnsi="仿宋" w:eastAsia="仿宋"/>
          <w:sz w:val="32"/>
          <w:szCs w:val="32"/>
        </w:rPr>
        <w:t>防范</w:t>
      </w:r>
      <w:r>
        <w:rPr>
          <w:rFonts w:ascii="仿宋" w:hAnsi="仿宋" w:eastAsia="仿宋"/>
          <w:sz w:val="32"/>
          <w:szCs w:val="32"/>
        </w:rPr>
        <w:t>意识、金融法</w:t>
      </w:r>
      <w:r>
        <w:rPr>
          <w:rFonts w:hint="eastAsia" w:ascii="仿宋" w:hAnsi="仿宋" w:eastAsia="仿宋"/>
          <w:sz w:val="32"/>
          <w:szCs w:val="32"/>
          <w:lang w:eastAsia="zh-CN"/>
        </w:rPr>
        <w:t>治</w:t>
      </w:r>
      <w:r>
        <w:rPr>
          <w:rFonts w:ascii="仿宋" w:hAnsi="仿宋" w:eastAsia="仿宋"/>
          <w:sz w:val="32"/>
          <w:szCs w:val="32"/>
        </w:rPr>
        <w:t>意识和信用观念。</w:t>
      </w:r>
    </w:p>
    <w:p>
      <w:pPr>
        <w:spacing w:line="540" w:lineRule="exact"/>
        <w:rPr>
          <w:rFonts w:ascii="仿宋" w:hAnsi="仿宋" w:eastAsia="仿宋"/>
          <w:sz w:val="32"/>
          <w:szCs w:val="32"/>
        </w:rPr>
      </w:pPr>
      <w:r>
        <w:rPr>
          <w:rFonts w:hint="eastAsia" w:ascii="仿宋" w:hAnsi="仿宋" w:eastAsia="仿宋"/>
          <w:sz w:val="32"/>
          <w:szCs w:val="32"/>
        </w:rPr>
        <w:t xml:space="preserve">   （三）征信知识问答。</w:t>
      </w:r>
      <w:r>
        <w:rPr>
          <w:rFonts w:ascii="仿宋" w:hAnsi="仿宋" w:eastAsia="仿宋"/>
          <w:sz w:val="32"/>
          <w:szCs w:val="32"/>
        </w:rPr>
        <w:t>通过</w:t>
      </w:r>
      <w:r>
        <w:rPr>
          <w:rFonts w:hint="eastAsia" w:ascii="仿宋" w:hAnsi="仿宋" w:eastAsia="仿宋"/>
          <w:sz w:val="32"/>
          <w:szCs w:val="32"/>
        </w:rPr>
        <w:t>福建学生资助微信公众号（fjzzzk）开展</w:t>
      </w:r>
      <w:r>
        <w:rPr>
          <w:rFonts w:ascii="仿宋" w:hAnsi="仿宋" w:eastAsia="仿宋"/>
          <w:sz w:val="32"/>
          <w:szCs w:val="32"/>
        </w:rPr>
        <w:t>知识</w:t>
      </w:r>
      <w:r>
        <w:rPr>
          <w:rFonts w:hint="eastAsia" w:ascii="仿宋" w:hAnsi="仿宋" w:eastAsia="仿宋"/>
          <w:sz w:val="32"/>
          <w:szCs w:val="32"/>
        </w:rPr>
        <w:t>问答</w:t>
      </w:r>
      <w:r>
        <w:rPr>
          <w:rFonts w:ascii="仿宋" w:hAnsi="仿宋" w:eastAsia="仿宋"/>
          <w:sz w:val="32"/>
          <w:szCs w:val="32"/>
        </w:rPr>
        <w:t>活动，形成“学征信、懂征信、用征信”的良好氛围，引导和帮助大学生们增强信用意识，</w:t>
      </w:r>
      <w:bookmarkStart w:id="0" w:name="_GoBack"/>
      <w:bookmarkEnd w:id="0"/>
      <w:r>
        <w:rPr>
          <w:rFonts w:ascii="仿宋" w:hAnsi="仿宋" w:eastAsia="仿宋"/>
          <w:sz w:val="32"/>
          <w:szCs w:val="32"/>
        </w:rPr>
        <w:t>珍爱信用记录。</w:t>
      </w:r>
    </w:p>
    <w:p>
      <w:pPr>
        <w:spacing w:line="540" w:lineRule="exact"/>
        <w:rPr>
          <w:rFonts w:ascii="仿宋" w:hAnsi="仿宋" w:eastAsia="仿宋"/>
          <w:sz w:val="32"/>
          <w:szCs w:val="32"/>
        </w:rPr>
      </w:pPr>
      <w:r>
        <w:rPr>
          <w:rFonts w:hint="eastAsia" w:ascii="仿宋" w:hAnsi="仿宋" w:eastAsia="仿宋"/>
          <w:sz w:val="32"/>
          <w:szCs w:val="32"/>
        </w:rPr>
        <w:t xml:space="preserve">     四、活动安排</w:t>
      </w:r>
    </w:p>
    <w:p>
      <w:pPr>
        <w:spacing w:line="540" w:lineRule="exact"/>
        <w:rPr>
          <w:rFonts w:ascii="仿宋" w:hAnsi="仿宋" w:eastAsia="仿宋"/>
          <w:sz w:val="32"/>
          <w:szCs w:val="32"/>
        </w:rPr>
      </w:pPr>
      <w:r>
        <w:rPr>
          <w:rFonts w:hint="eastAsia" w:ascii="仿宋" w:hAnsi="仿宋" w:eastAsia="仿宋"/>
          <w:sz w:val="32"/>
          <w:szCs w:val="32"/>
        </w:rPr>
        <w:t xml:space="preserve">    “金融知识校园行”系列教育活动将作为常规活动，于每年学期初开展：</w:t>
      </w:r>
    </w:p>
    <w:p>
      <w:pPr>
        <w:spacing w:line="540" w:lineRule="exact"/>
        <w:rPr>
          <w:rFonts w:ascii="仿宋" w:hAnsi="仿宋" w:eastAsia="仿宋"/>
          <w:sz w:val="32"/>
          <w:szCs w:val="32"/>
        </w:rPr>
      </w:pPr>
      <w:r>
        <w:rPr>
          <w:rFonts w:hint="eastAsia" w:ascii="仿宋" w:hAnsi="仿宋" w:eastAsia="仿宋"/>
          <w:sz w:val="32"/>
          <w:szCs w:val="32"/>
        </w:rPr>
        <w:t xml:space="preserve">   （一）各校申报活动开展时间。各校于每年3月15日-30日，登录福建省资助信息化工作平台（</w:t>
      </w:r>
      <w:r>
        <w:rPr>
          <w:rFonts w:ascii="仿宋" w:hAnsi="仿宋" w:eastAsia="仿宋"/>
          <w:sz w:val="32"/>
          <w:szCs w:val="32"/>
        </w:rPr>
        <w:t>http://120.36.2.139/pros/identity/index.action</w:t>
      </w:r>
      <w:r>
        <w:rPr>
          <w:rFonts w:hint="eastAsia" w:ascii="仿宋" w:hAnsi="仿宋" w:eastAsia="仿宋"/>
          <w:sz w:val="32"/>
          <w:szCs w:val="32"/>
        </w:rPr>
        <w:t>），根据本校教学安排实际情况，申报“金融知识宣讲团” 系列教育活动开展时间。</w:t>
      </w:r>
    </w:p>
    <w:p>
      <w:pPr>
        <w:spacing w:line="540" w:lineRule="exact"/>
        <w:rPr>
          <w:rFonts w:ascii="仿宋" w:hAnsi="仿宋" w:eastAsia="仿宋"/>
          <w:sz w:val="32"/>
          <w:szCs w:val="32"/>
        </w:rPr>
      </w:pPr>
      <w:r>
        <w:rPr>
          <w:rFonts w:hint="eastAsia" w:ascii="仿宋" w:hAnsi="仿宋" w:eastAsia="仿宋"/>
          <w:sz w:val="32"/>
          <w:szCs w:val="32"/>
        </w:rPr>
        <w:t xml:space="preserve">   （二）确定金融宣讲团讲师人选。各高校可根据本校活动开展时间，从金融宣讲团讲师库中抽选合适的讲师。</w:t>
      </w:r>
    </w:p>
    <w:p>
      <w:pPr>
        <w:spacing w:line="540" w:lineRule="exact"/>
        <w:rPr>
          <w:rFonts w:ascii="仿宋" w:hAnsi="仿宋" w:eastAsia="仿宋"/>
          <w:sz w:val="32"/>
          <w:szCs w:val="32"/>
        </w:rPr>
      </w:pPr>
      <w:r>
        <w:rPr>
          <w:rFonts w:hint="eastAsia" w:ascii="仿宋" w:hAnsi="仿宋" w:eastAsia="仿宋"/>
          <w:sz w:val="32"/>
          <w:szCs w:val="32"/>
        </w:rPr>
        <w:t xml:space="preserve">   （三）组织开展系列教育活动。各高校根据活动安排，集中开展“金融知识校园行”系列教育活动。</w:t>
      </w:r>
    </w:p>
    <w:p>
      <w:pPr>
        <w:spacing w:line="540" w:lineRule="exact"/>
        <w:rPr>
          <w:rFonts w:ascii="仿宋" w:hAnsi="仿宋" w:eastAsia="仿宋"/>
          <w:sz w:val="32"/>
          <w:szCs w:val="32"/>
        </w:rPr>
      </w:pPr>
      <w:r>
        <w:rPr>
          <w:rFonts w:hint="eastAsia" w:ascii="仿宋" w:hAnsi="仿宋" w:eastAsia="仿宋"/>
          <w:sz w:val="32"/>
          <w:szCs w:val="32"/>
        </w:rPr>
        <w:t xml:space="preserve">   （四）反馈各项活动开展情况。各高校应于每年12月1日前，将当年活动开展情况以文字、图片或视频等方式报福建省学生资助管理中心。银行业金融机构应将当年活动开展情况以文字、图片或视频等方式与中国人民银行9月“金融知识普及月”宣传总结一并报同级人民银行分支机构。人民银行省内各市中心支行（不含厦门）汇总所辖人民银行分支机构和本级银行业金融机构的活动情况，人民银行福州各县（市、区）汇总本级银行业金融机构的活动情况和9月“金融知识普及月”宣传总结一并报中国人民银行福州中心支行；人民银行厦门市中心支行将当年活动开展情况于10月10日前报送中国人民银行福州中心支行。</w:t>
      </w:r>
    </w:p>
    <w:p>
      <w:pPr>
        <w:spacing w:line="540" w:lineRule="exact"/>
        <w:rPr>
          <w:rFonts w:ascii="仿宋" w:hAnsi="仿宋" w:eastAsia="仿宋"/>
          <w:sz w:val="32"/>
          <w:szCs w:val="32"/>
        </w:rPr>
      </w:pPr>
      <w:r>
        <w:rPr>
          <w:rFonts w:hint="eastAsia" w:ascii="仿宋" w:hAnsi="仿宋" w:eastAsia="仿宋"/>
          <w:sz w:val="32"/>
          <w:szCs w:val="32"/>
        </w:rPr>
        <w:t xml:space="preserve">    五、“金融宣讲团”讲师选聘条件</w:t>
      </w:r>
    </w:p>
    <w:p>
      <w:pPr>
        <w:spacing w:line="540" w:lineRule="exact"/>
        <w:rPr>
          <w:rFonts w:ascii="仿宋" w:hAnsi="仿宋" w:eastAsia="仿宋"/>
          <w:sz w:val="32"/>
          <w:szCs w:val="32"/>
        </w:rPr>
      </w:pPr>
      <w:r>
        <w:rPr>
          <w:rFonts w:hint="eastAsia" w:ascii="仿宋" w:hAnsi="仿宋" w:eastAsia="仿宋"/>
          <w:sz w:val="32"/>
          <w:szCs w:val="32"/>
        </w:rPr>
        <w:t xml:space="preserve">   “金融知识宣讲团”讲师成员由人民银行、银行业金融机构的业务骨干和高校金融专业的导师组成。人民银行和银行业金融机构的业务骨干由中国人民银行福州中心支行审定，高校金融专业导师由福建省学生资助管理中心审定。</w:t>
      </w:r>
    </w:p>
    <w:p>
      <w:pPr>
        <w:spacing w:line="540" w:lineRule="exact"/>
        <w:rPr>
          <w:rFonts w:ascii="仿宋" w:hAnsi="仿宋" w:eastAsia="仿宋"/>
          <w:sz w:val="32"/>
          <w:szCs w:val="32"/>
        </w:rPr>
      </w:pPr>
      <w:r>
        <w:rPr>
          <w:rFonts w:hint="eastAsia" w:ascii="仿宋" w:hAnsi="仿宋" w:eastAsia="仿宋"/>
          <w:sz w:val="32"/>
          <w:szCs w:val="32"/>
        </w:rPr>
        <w:t xml:space="preserve">   （一）遵守国家法律法规，具备良好的思想政治素质和职业道德。</w:t>
      </w:r>
    </w:p>
    <w:p>
      <w:pPr>
        <w:spacing w:line="540" w:lineRule="exact"/>
        <w:rPr>
          <w:rFonts w:ascii="仿宋" w:hAnsi="仿宋" w:eastAsia="仿宋"/>
          <w:sz w:val="32"/>
          <w:szCs w:val="32"/>
        </w:rPr>
      </w:pPr>
      <w:r>
        <w:rPr>
          <w:rFonts w:hint="eastAsia" w:ascii="仿宋" w:hAnsi="仿宋" w:eastAsia="仿宋"/>
          <w:sz w:val="32"/>
          <w:szCs w:val="32"/>
        </w:rPr>
        <w:t xml:space="preserve">   （二）富有强烈的社会责任感和责任心，能够积极配合活动的开展。</w:t>
      </w:r>
    </w:p>
    <w:p>
      <w:pPr>
        <w:spacing w:line="540" w:lineRule="exact"/>
        <w:rPr>
          <w:rFonts w:ascii="仿宋" w:hAnsi="仿宋" w:eastAsia="仿宋"/>
          <w:sz w:val="32"/>
          <w:szCs w:val="32"/>
        </w:rPr>
      </w:pPr>
      <w:r>
        <w:rPr>
          <w:rFonts w:hint="eastAsia" w:ascii="仿宋" w:hAnsi="仿宋" w:eastAsia="仿宋"/>
          <w:sz w:val="32"/>
          <w:szCs w:val="32"/>
        </w:rPr>
        <w:t xml:space="preserve">   （三）熟悉掌握信贷、支付结算、人民币反假、征信、外汇、反洗钱、个人理财、金融消费纠纷处理及金融风险防范等一种或多种金融知识。</w:t>
      </w:r>
    </w:p>
    <w:p>
      <w:pPr>
        <w:spacing w:line="540" w:lineRule="exact"/>
        <w:rPr>
          <w:rFonts w:ascii="仿宋" w:hAnsi="仿宋" w:eastAsia="仿宋"/>
          <w:sz w:val="32"/>
          <w:szCs w:val="32"/>
        </w:rPr>
      </w:pPr>
      <w:r>
        <w:rPr>
          <w:rFonts w:hint="eastAsia" w:ascii="仿宋" w:hAnsi="仿宋" w:eastAsia="仿宋"/>
          <w:sz w:val="32"/>
          <w:szCs w:val="32"/>
        </w:rPr>
        <w:t xml:space="preserve">   （四）熟悉国家资助政策，熟悉国家助学贷款办理流程及贷后还款办法等。</w:t>
      </w:r>
    </w:p>
    <w:p>
      <w:pPr>
        <w:spacing w:line="540" w:lineRule="exact"/>
        <w:rPr>
          <w:rFonts w:ascii="仿宋" w:hAnsi="仿宋" w:eastAsia="仿宋"/>
          <w:sz w:val="32"/>
          <w:szCs w:val="32"/>
        </w:rPr>
      </w:pPr>
      <w:r>
        <w:rPr>
          <w:rFonts w:hint="eastAsia" w:ascii="仿宋" w:hAnsi="仿宋" w:eastAsia="仿宋"/>
          <w:sz w:val="32"/>
          <w:szCs w:val="32"/>
        </w:rPr>
        <w:t xml:space="preserve">   （五）具有较强的专业基础和良好的口头表达能力且形象较好。</w:t>
      </w:r>
    </w:p>
    <w:p>
      <w:pPr>
        <w:spacing w:line="540" w:lineRule="exact"/>
        <w:rPr>
          <w:rFonts w:ascii="仿宋" w:hAnsi="仿宋" w:eastAsia="仿宋"/>
          <w:sz w:val="32"/>
          <w:szCs w:val="32"/>
        </w:rPr>
      </w:pPr>
      <w:r>
        <w:rPr>
          <w:rFonts w:hint="eastAsia" w:ascii="仿宋" w:hAnsi="仿宋" w:eastAsia="仿宋"/>
          <w:sz w:val="32"/>
          <w:szCs w:val="32"/>
        </w:rPr>
        <w:t xml:space="preserve">   （六）人民银行和银行业金融机构推荐的讲师应具有中级以上职称，在金融领域工作满3年。</w:t>
      </w:r>
      <w:r>
        <w:rPr>
          <w:rFonts w:hint="eastAsia" w:ascii="仿宋" w:hAnsi="仿宋" w:eastAsia="仿宋"/>
          <w:b/>
          <w:bCs/>
          <w:sz w:val="32"/>
          <w:szCs w:val="32"/>
        </w:rPr>
        <w:t>福建省人民银行系统推荐的讲师相关条件：</w:t>
      </w:r>
      <w:r>
        <w:rPr>
          <w:rFonts w:hint="eastAsia" w:ascii="仿宋" w:hAnsi="仿宋" w:eastAsia="仿宋"/>
          <w:sz w:val="32"/>
          <w:szCs w:val="32"/>
        </w:rPr>
        <w:t>人民银行福州中心支行推荐的讲师，不少于15名；人民银行省内各市中心支行（含所辖人民银行分支机构）推荐的讲师，各不少于10名；人民银行福州各县（市、区）支行推荐的讲师，各不少于3名。</w:t>
      </w:r>
      <w:r>
        <w:rPr>
          <w:rFonts w:hint="eastAsia" w:ascii="仿宋" w:hAnsi="仿宋" w:eastAsia="仿宋"/>
          <w:b/>
          <w:bCs/>
          <w:sz w:val="32"/>
          <w:szCs w:val="32"/>
        </w:rPr>
        <w:t>银行业金融机构推荐的讲师相关条件</w:t>
      </w:r>
      <w:r>
        <w:rPr>
          <w:rFonts w:hint="eastAsia" w:ascii="仿宋" w:hAnsi="仿宋" w:eastAsia="仿宋"/>
          <w:sz w:val="32"/>
          <w:szCs w:val="32"/>
        </w:rPr>
        <w:t>：在榕省级银行业金融机构推荐的讲师，每家不少于5名，报中国人民银行福州中心支行审定；人民银行省内各市中心支行、福州各县（市、区）所在地同级银行业金融机构，每家推荐的讲师应不少于3名，并报所在地人民银行审定后逐级上报。福建省人民银行系统和银行业金融机构推荐的讲师，由人民银行福州中心支行汇总审定后，最后确定讲师人员名单。</w:t>
      </w:r>
    </w:p>
    <w:p>
      <w:pPr>
        <w:spacing w:line="540" w:lineRule="exact"/>
        <w:rPr>
          <w:rFonts w:ascii="仿宋" w:hAnsi="仿宋" w:eastAsia="仿宋"/>
          <w:sz w:val="32"/>
          <w:szCs w:val="32"/>
        </w:rPr>
      </w:pPr>
      <w:r>
        <w:rPr>
          <w:rFonts w:hint="eastAsia" w:ascii="仿宋" w:hAnsi="仿宋" w:eastAsia="仿宋"/>
          <w:sz w:val="32"/>
          <w:szCs w:val="32"/>
        </w:rPr>
        <w:t xml:space="preserve">    各家银行业金融机构应坚持公益性与服务性的原则，不得将金融知识普及异化为金融产品营销。</w:t>
      </w:r>
    </w:p>
    <w:p>
      <w:pPr>
        <w:spacing w:line="540" w:lineRule="exact"/>
        <w:rPr>
          <w:rFonts w:ascii="仿宋" w:hAnsi="仿宋" w:eastAsia="仿宋"/>
          <w:sz w:val="32"/>
          <w:szCs w:val="32"/>
        </w:rPr>
      </w:pPr>
      <w:r>
        <w:rPr>
          <w:rFonts w:hint="eastAsia" w:ascii="仿宋" w:hAnsi="仿宋" w:eastAsia="仿宋"/>
          <w:sz w:val="32"/>
          <w:szCs w:val="32"/>
        </w:rPr>
        <w:t xml:space="preserve">   （七）高校金融专业的导师应具有中级以上职称，在高校从事金融专业教育满5年。</w:t>
      </w:r>
    </w:p>
    <w:p>
      <w:pPr>
        <w:spacing w:line="540" w:lineRule="exact"/>
        <w:rPr>
          <w:rFonts w:ascii="仿宋" w:hAnsi="仿宋" w:eastAsia="仿宋"/>
          <w:sz w:val="32"/>
          <w:szCs w:val="32"/>
        </w:rPr>
      </w:pPr>
      <w:r>
        <w:rPr>
          <w:rFonts w:hint="eastAsia" w:ascii="仿宋" w:hAnsi="仿宋" w:eastAsia="仿宋"/>
          <w:sz w:val="32"/>
          <w:szCs w:val="32"/>
        </w:rPr>
        <w:t xml:space="preserve">    其中（三）和（四）为选择条件。</w:t>
      </w:r>
    </w:p>
    <w:p>
      <w:pPr>
        <w:spacing w:line="540" w:lineRule="exact"/>
        <w:rPr>
          <w:rFonts w:ascii="仿宋" w:hAnsi="仿宋" w:eastAsia="仿宋"/>
          <w:sz w:val="32"/>
          <w:szCs w:val="32"/>
        </w:rPr>
      </w:pPr>
      <w:r>
        <w:rPr>
          <w:rFonts w:hint="eastAsia" w:ascii="仿宋" w:hAnsi="仿宋" w:eastAsia="仿宋"/>
          <w:sz w:val="32"/>
          <w:szCs w:val="32"/>
        </w:rPr>
        <w:t xml:space="preserve">    六、其他事项</w:t>
      </w:r>
    </w:p>
    <w:p>
      <w:pPr>
        <w:spacing w:line="540" w:lineRule="exact"/>
        <w:rPr>
          <w:rFonts w:ascii="仿宋" w:hAnsi="仿宋" w:eastAsia="仿宋"/>
          <w:sz w:val="32"/>
          <w:szCs w:val="32"/>
        </w:rPr>
      </w:pPr>
      <w:r>
        <w:rPr>
          <w:rFonts w:hint="eastAsia" w:ascii="仿宋" w:hAnsi="仿宋" w:eastAsia="仿宋"/>
          <w:sz w:val="32"/>
          <w:szCs w:val="32"/>
        </w:rPr>
        <w:t xml:space="preserve">   （一）各单位要高度重视“金融知识校园行”系列教育主题活动，精心组织、主动配合、落实专人，确保宣传活动有条不紊。</w:t>
      </w:r>
    </w:p>
    <w:p>
      <w:pPr>
        <w:spacing w:line="540" w:lineRule="exact"/>
        <w:rPr>
          <w:rFonts w:ascii="仿宋" w:hAnsi="仿宋" w:eastAsia="仿宋"/>
          <w:sz w:val="32"/>
          <w:szCs w:val="32"/>
        </w:rPr>
      </w:pPr>
      <w:r>
        <w:rPr>
          <w:rFonts w:hint="eastAsia" w:ascii="仿宋" w:hAnsi="仿宋" w:eastAsia="仿宋"/>
          <w:sz w:val="32"/>
          <w:szCs w:val="32"/>
        </w:rPr>
        <w:t xml:space="preserve">   （二）各高校收到文件后要及时与福建省学生资助管理中心联系，根据本校教学安排情况，尽快确定本年度“金融知识宣讲团”入校宣讲时间。</w:t>
      </w:r>
    </w:p>
    <w:p>
      <w:pPr>
        <w:spacing w:line="540" w:lineRule="exact"/>
        <w:rPr>
          <w:rFonts w:ascii="仿宋" w:hAnsi="仿宋" w:eastAsia="仿宋"/>
          <w:sz w:val="32"/>
          <w:szCs w:val="32"/>
        </w:rPr>
      </w:pPr>
      <w:r>
        <w:rPr>
          <w:rFonts w:hint="eastAsia" w:ascii="仿宋" w:hAnsi="仿宋" w:eastAsia="仿宋"/>
          <w:sz w:val="32"/>
          <w:szCs w:val="32"/>
        </w:rPr>
        <w:t xml:space="preserve">   （三）各有关单位请于2017年5月31日前填写《金融知识宣讲团讲师推荐表》（见附件）（加盖单位公章），人民银行省内各市中心支行、福州各县（市、区）将本单位和辖内银行业金融机构的推荐名单报送中国人民银行福州中心支行；各高校将推荐名单报送福建省学生资助管理中心。</w:t>
      </w:r>
    </w:p>
    <w:p>
      <w:pPr>
        <w:spacing w:line="540" w:lineRule="exact"/>
        <w:rPr>
          <w:rFonts w:ascii="仿宋" w:hAnsi="仿宋" w:eastAsia="仿宋"/>
          <w:sz w:val="32"/>
          <w:szCs w:val="32"/>
        </w:rPr>
      </w:pPr>
      <w:r>
        <w:rPr>
          <w:rFonts w:hint="eastAsia" w:ascii="仿宋" w:hAnsi="仿宋" w:eastAsia="仿宋"/>
          <w:sz w:val="32"/>
          <w:szCs w:val="32"/>
        </w:rPr>
        <w:t xml:space="preserve">   （四）各有关单位请于2018年起，每年8月30日前将本单位讲师成员的变动情况报送审定单位后，由福州中支最后确定。变动的原因包括但不限于需新增讲师成员的，因年龄、身体情况、岗位变动或离职等，原讲师成员无法继续胜任的。</w:t>
      </w:r>
    </w:p>
    <w:p>
      <w:pPr>
        <w:spacing w:line="540" w:lineRule="exact"/>
        <w:rPr>
          <w:rFonts w:ascii="仿宋" w:hAnsi="仿宋" w:eastAsia="仿宋"/>
          <w:sz w:val="32"/>
          <w:szCs w:val="32"/>
        </w:rPr>
      </w:pPr>
      <w:r>
        <w:rPr>
          <w:rFonts w:hint="eastAsia" w:ascii="仿宋" w:hAnsi="仿宋" w:eastAsia="仿宋"/>
          <w:sz w:val="32"/>
          <w:szCs w:val="32"/>
        </w:rPr>
        <w:t xml:space="preserve">   （五）对积极参加金融知识宣讲，表现优异的讲师，每年定期福建省教育厅和人民银行福州中心支行联合颁发“优秀金融宣讲师”聘书。</w:t>
      </w:r>
    </w:p>
    <w:p>
      <w:pPr>
        <w:spacing w:line="540" w:lineRule="exact"/>
        <w:rPr>
          <w:rFonts w:ascii="仿宋" w:hAnsi="仿宋" w:eastAsia="仿宋"/>
          <w:sz w:val="32"/>
          <w:szCs w:val="32"/>
        </w:rPr>
      </w:pPr>
      <w:r>
        <w:rPr>
          <w:rFonts w:hint="eastAsia" w:ascii="仿宋" w:hAnsi="仿宋" w:eastAsia="仿宋"/>
          <w:sz w:val="32"/>
          <w:szCs w:val="32"/>
        </w:rPr>
        <w:t xml:space="preserve">   （六）“金融知识校园行”的具体活动事宜，由高校与所在地的人民银行分支机构协商确定；金融知识展览场地由各高校提供，有关展览内容由所在地人民银行分支机构提供。</w:t>
      </w:r>
    </w:p>
    <w:p>
      <w:pPr>
        <w:spacing w:line="540" w:lineRule="exact"/>
        <w:rPr>
          <w:rFonts w:ascii="仿宋" w:hAnsi="仿宋" w:eastAsia="仿宋"/>
          <w:sz w:val="32"/>
          <w:szCs w:val="32"/>
        </w:rPr>
      </w:pPr>
      <w:r>
        <w:rPr>
          <w:rFonts w:hint="eastAsia" w:ascii="仿宋" w:hAnsi="仿宋" w:eastAsia="仿宋"/>
          <w:sz w:val="32"/>
          <w:szCs w:val="32"/>
        </w:rPr>
        <w:t xml:space="preserve">   （七）“金融知识宣讲团”成员入校开展相关金融知识讲座，其课酬补贴由各高校根据省委组织部、省财政厅、省人社厅、省公务员局《关于进一步规范省直单位考试评审等劳务费执行标准的通知》（闽财行〔2016〕8号）和《福建省省直机关培训费管理办法》（闽财行〔2014〕24号）文件要求执行。</w:t>
      </w:r>
    </w:p>
    <w:p>
      <w:pPr>
        <w:spacing w:line="540" w:lineRule="exact"/>
        <w:rPr>
          <w:rFonts w:ascii="仿宋" w:hAnsi="仿宋" w:eastAsia="仿宋"/>
          <w:sz w:val="32"/>
          <w:szCs w:val="32"/>
        </w:rPr>
      </w:pPr>
      <w:r>
        <w:rPr>
          <w:rFonts w:hint="eastAsia" w:ascii="仿宋" w:hAnsi="仿宋" w:eastAsia="仿宋"/>
          <w:sz w:val="32"/>
          <w:szCs w:val="32"/>
        </w:rPr>
        <w:t xml:space="preserve">   （八）中国人民银行福州中心支行联系人：陈杨旸  ，联系电话：0591-88010899 ，电子邮箱：fzrh1112@163.com  ；福建省学生资助管理中心联系人：林予佳，联系电话：0591-87091629，电子邮箱：fjzxdk@163.com。</w:t>
      </w:r>
    </w:p>
    <w:p>
      <w:pPr>
        <w:spacing w:line="540" w:lineRule="exact"/>
        <w:rPr>
          <w:rFonts w:ascii="仿宋" w:hAnsi="仿宋" w:eastAsia="仿宋"/>
          <w:sz w:val="32"/>
          <w:szCs w:val="32"/>
        </w:rPr>
      </w:pPr>
    </w:p>
    <w:p>
      <w:pPr>
        <w:spacing w:line="540" w:lineRule="exact"/>
        <w:rPr>
          <w:rFonts w:hint="eastAsia" w:ascii="仿宋" w:hAnsi="仿宋" w:eastAsia="仿宋"/>
          <w:sz w:val="32"/>
          <w:szCs w:val="32"/>
        </w:rPr>
      </w:pPr>
      <w:r>
        <w:rPr>
          <w:rFonts w:hint="eastAsia" w:ascii="仿宋" w:hAnsi="仿宋" w:eastAsia="仿宋"/>
          <w:sz w:val="32"/>
          <w:szCs w:val="32"/>
        </w:rPr>
        <w:t xml:space="preserve">    附件：金融知识宣讲团讲师推荐表</w:t>
      </w: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p>
      <w:pPr>
        <w:spacing w:line="540" w:lineRule="exact"/>
        <w:rPr>
          <w:rFonts w:hint="eastAsia" w:ascii="仿宋" w:hAnsi="仿宋" w:eastAsia="仿宋"/>
          <w:sz w:val="32"/>
          <w:szCs w:val="32"/>
        </w:rPr>
      </w:pPr>
    </w:p>
    <w:tbl>
      <w:tblPr>
        <w:tblStyle w:val="5"/>
        <w:tblW w:w="10044" w:type="dxa"/>
        <w:tblInd w:w="0" w:type="dxa"/>
        <w:tblLayout w:type="fixed"/>
        <w:tblCellMar>
          <w:top w:w="0" w:type="dxa"/>
          <w:left w:w="30" w:type="dxa"/>
          <w:bottom w:w="0" w:type="dxa"/>
          <w:right w:w="30" w:type="dxa"/>
        </w:tblCellMar>
      </w:tblPr>
      <w:tblGrid>
        <w:gridCol w:w="1469"/>
        <w:gridCol w:w="2304"/>
        <w:gridCol w:w="1548"/>
        <w:gridCol w:w="2563"/>
        <w:gridCol w:w="2160"/>
      </w:tblGrid>
      <w:tr>
        <w:tblPrEx>
          <w:tblCellMar>
            <w:top w:w="0" w:type="dxa"/>
            <w:left w:w="30" w:type="dxa"/>
            <w:bottom w:w="0" w:type="dxa"/>
            <w:right w:w="30" w:type="dxa"/>
          </w:tblCellMar>
        </w:tblPrEx>
        <w:trPr>
          <w:trHeight w:val="907" w:hRule="atLeast"/>
        </w:trPr>
        <w:tc>
          <w:tcPr>
            <w:tcW w:w="10044" w:type="dxa"/>
            <w:gridSpan w:val="5"/>
            <w:tcBorders>
              <w:bottom w:val="single" w:color="auto" w:sz="6" w:space="0"/>
            </w:tcBorders>
          </w:tcPr>
          <w:p>
            <w:pPr>
              <w:autoSpaceDE w:val="0"/>
              <w:autoSpaceDN w:val="0"/>
              <w:adjustRightInd w:val="0"/>
              <w:jc w:val="center"/>
              <w:rPr>
                <w:rFonts w:ascii="黑体" w:hAnsi="Times New Roman" w:eastAsia="黑体" w:cs="黑体"/>
                <w:color w:val="000000"/>
                <w:kern w:val="0"/>
                <w:sz w:val="32"/>
                <w:szCs w:val="32"/>
              </w:rPr>
            </w:pPr>
            <w:r>
              <w:rPr>
                <w:rFonts w:hint="eastAsia" w:ascii="黑体" w:hAnsi="Times New Roman" w:eastAsia="黑体" w:cs="黑体"/>
                <w:color w:val="000000"/>
                <w:kern w:val="0"/>
                <w:sz w:val="32"/>
                <w:szCs w:val="32"/>
              </w:rPr>
              <w:t>金融知识宣讲团讲师推荐表</w:t>
            </w:r>
          </w:p>
        </w:tc>
      </w:tr>
      <w:tr>
        <w:tblPrEx>
          <w:tblCellMar>
            <w:top w:w="0" w:type="dxa"/>
            <w:left w:w="30" w:type="dxa"/>
            <w:bottom w:w="0" w:type="dxa"/>
            <w:right w:w="30" w:type="dxa"/>
          </w:tblCellMar>
        </w:tblPrEx>
        <w:trPr>
          <w:trHeight w:val="533" w:hRule="atLeast"/>
        </w:trPr>
        <w:tc>
          <w:tcPr>
            <w:tcW w:w="1469" w:type="dxa"/>
            <w:tcBorders>
              <w:top w:val="single" w:color="auto" w:sz="6"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姓</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名</w:t>
            </w:r>
          </w:p>
        </w:tc>
        <w:tc>
          <w:tcPr>
            <w:tcW w:w="2304" w:type="dxa"/>
            <w:tcBorders>
              <w:top w:val="single" w:color="auto" w:sz="6"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c>
          <w:tcPr>
            <w:tcW w:w="1548" w:type="dxa"/>
            <w:tcBorders>
              <w:top w:val="single" w:color="auto" w:sz="6"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性</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别</w:t>
            </w:r>
          </w:p>
        </w:tc>
        <w:tc>
          <w:tcPr>
            <w:tcW w:w="2563" w:type="dxa"/>
            <w:tcBorders>
              <w:top w:val="single" w:color="auto" w:sz="6"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c>
          <w:tcPr>
            <w:tcW w:w="2160" w:type="dxa"/>
            <w:tcBorders>
              <w:top w:val="single" w:color="auto" w:sz="6" w:space="0"/>
              <w:left w:val="single" w:color="auto" w:sz="6" w:space="0"/>
              <w:bottom w:val="nil"/>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照片</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w:t>
            </w:r>
            <w:r>
              <w:rPr>
                <w:rFonts w:ascii="宋体" w:hAnsi="Times New Roman" w:cs="宋体"/>
                <w:color w:val="000000"/>
                <w:kern w:val="0"/>
                <w:sz w:val="24"/>
                <w:szCs w:val="24"/>
              </w:rPr>
              <w:t>2</w:t>
            </w:r>
            <w:r>
              <w:rPr>
                <w:rFonts w:hint="eastAsia" w:ascii="宋体" w:hAnsi="Times New Roman" w:cs="宋体"/>
                <w:color w:val="000000"/>
                <w:kern w:val="0"/>
                <w:sz w:val="24"/>
                <w:szCs w:val="24"/>
              </w:rPr>
              <w:t>寸）</w:t>
            </w:r>
          </w:p>
        </w:tc>
      </w:tr>
      <w:tr>
        <w:tblPrEx>
          <w:tblCellMar>
            <w:top w:w="0" w:type="dxa"/>
            <w:left w:w="30" w:type="dxa"/>
            <w:bottom w:w="0" w:type="dxa"/>
            <w:right w:w="30" w:type="dxa"/>
          </w:tblCellMar>
        </w:tblPrEx>
        <w:trPr>
          <w:trHeight w:val="533"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出生日期</w:t>
            </w:r>
          </w:p>
        </w:tc>
        <w:tc>
          <w:tcPr>
            <w:tcW w:w="2304"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c>
          <w:tcPr>
            <w:tcW w:w="1548"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政治面貌</w:t>
            </w:r>
          </w:p>
        </w:tc>
        <w:tc>
          <w:tcPr>
            <w:tcW w:w="2563"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c>
          <w:tcPr>
            <w:tcW w:w="2160" w:type="dxa"/>
            <w:tcBorders>
              <w:top w:val="nil"/>
              <w:left w:val="single" w:color="auto" w:sz="6" w:space="0"/>
              <w:bottom w:val="nil"/>
              <w:right w:val="single" w:color="auto" w:sz="6" w:space="0"/>
            </w:tcBorders>
          </w:tcPr>
          <w:p>
            <w:pPr>
              <w:autoSpaceDE w:val="0"/>
              <w:autoSpaceDN w:val="0"/>
              <w:adjustRightInd w:val="0"/>
              <w:jc w:val="center"/>
              <w:rPr>
                <w:rFonts w:ascii="宋体" w:hAnsi="Times New Roman" w:cs="宋体"/>
                <w:color w:val="000000"/>
                <w:kern w:val="0"/>
                <w:sz w:val="24"/>
                <w:szCs w:val="24"/>
              </w:rPr>
            </w:pPr>
          </w:p>
        </w:tc>
      </w:tr>
      <w:tr>
        <w:tblPrEx>
          <w:tblCellMar>
            <w:top w:w="0" w:type="dxa"/>
            <w:left w:w="30" w:type="dxa"/>
            <w:bottom w:w="0" w:type="dxa"/>
            <w:right w:w="30" w:type="dxa"/>
          </w:tblCellMar>
        </w:tblPrEx>
        <w:trPr>
          <w:trHeight w:val="533"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联系电话</w:t>
            </w:r>
          </w:p>
        </w:tc>
        <w:tc>
          <w:tcPr>
            <w:tcW w:w="2304"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c>
          <w:tcPr>
            <w:tcW w:w="1548"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电子邮箱</w:t>
            </w:r>
          </w:p>
        </w:tc>
        <w:tc>
          <w:tcPr>
            <w:tcW w:w="2563"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c>
          <w:tcPr>
            <w:tcW w:w="2160" w:type="dxa"/>
            <w:tcBorders>
              <w:top w:val="nil"/>
              <w:left w:val="single" w:color="auto" w:sz="6" w:space="0"/>
              <w:bottom w:val="nil"/>
              <w:right w:val="single" w:color="auto" w:sz="6" w:space="0"/>
            </w:tcBorders>
          </w:tcPr>
          <w:p>
            <w:pPr>
              <w:autoSpaceDE w:val="0"/>
              <w:autoSpaceDN w:val="0"/>
              <w:adjustRightInd w:val="0"/>
              <w:jc w:val="center"/>
              <w:rPr>
                <w:rFonts w:ascii="宋体" w:hAnsi="Times New Roman" w:cs="宋体"/>
                <w:color w:val="000000"/>
                <w:kern w:val="0"/>
                <w:sz w:val="24"/>
                <w:szCs w:val="24"/>
              </w:rPr>
            </w:pPr>
          </w:p>
        </w:tc>
      </w:tr>
      <w:tr>
        <w:tblPrEx>
          <w:tblCellMar>
            <w:top w:w="0" w:type="dxa"/>
            <w:left w:w="30" w:type="dxa"/>
            <w:bottom w:w="0" w:type="dxa"/>
            <w:right w:w="30" w:type="dxa"/>
          </w:tblCellMar>
        </w:tblPrEx>
        <w:trPr>
          <w:trHeight w:val="533"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专</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业</w:t>
            </w:r>
          </w:p>
        </w:tc>
        <w:tc>
          <w:tcPr>
            <w:tcW w:w="2304" w:type="dxa"/>
            <w:tcBorders>
              <w:top w:val="single" w:color="auto" w:sz="2" w:space="0"/>
              <w:left w:val="single" w:color="auto" w:sz="6" w:space="0"/>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1548" w:type="dxa"/>
            <w:tcBorders>
              <w:top w:val="single" w:color="auto" w:sz="2" w:space="0"/>
              <w:left w:val="nil"/>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2563" w:type="dxa"/>
            <w:tcBorders>
              <w:top w:val="single" w:color="auto" w:sz="2" w:space="0"/>
              <w:left w:val="nil"/>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c>
          <w:tcPr>
            <w:tcW w:w="2160" w:type="dxa"/>
            <w:tcBorders>
              <w:top w:val="nil"/>
              <w:left w:val="single" w:color="auto" w:sz="6" w:space="0"/>
              <w:bottom w:val="nil"/>
              <w:right w:val="single" w:color="auto" w:sz="6" w:space="0"/>
            </w:tcBorders>
          </w:tcPr>
          <w:p>
            <w:pPr>
              <w:autoSpaceDE w:val="0"/>
              <w:autoSpaceDN w:val="0"/>
              <w:adjustRightInd w:val="0"/>
              <w:jc w:val="center"/>
              <w:rPr>
                <w:rFonts w:ascii="宋体" w:hAnsi="Times New Roman" w:cs="宋体"/>
                <w:color w:val="000000"/>
                <w:kern w:val="0"/>
                <w:sz w:val="24"/>
                <w:szCs w:val="24"/>
              </w:rPr>
            </w:pPr>
          </w:p>
        </w:tc>
      </w:tr>
      <w:tr>
        <w:tblPrEx>
          <w:tblCellMar>
            <w:top w:w="0" w:type="dxa"/>
            <w:left w:w="30" w:type="dxa"/>
            <w:bottom w:w="0" w:type="dxa"/>
            <w:right w:w="30" w:type="dxa"/>
          </w:tblCellMar>
        </w:tblPrEx>
        <w:trPr>
          <w:trHeight w:val="533"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学</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历</w:t>
            </w:r>
          </w:p>
        </w:tc>
        <w:tc>
          <w:tcPr>
            <w:tcW w:w="2304"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right"/>
              <w:rPr>
                <w:rFonts w:ascii="宋体" w:hAnsi="Times New Roman" w:cs="宋体"/>
                <w:color w:val="000000"/>
                <w:kern w:val="0"/>
                <w:sz w:val="24"/>
                <w:szCs w:val="24"/>
              </w:rPr>
            </w:pPr>
          </w:p>
        </w:tc>
        <w:tc>
          <w:tcPr>
            <w:tcW w:w="1548"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学</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位</w:t>
            </w:r>
          </w:p>
        </w:tc>
        <w:tc>
          <w:tcPr>
            <w:tcW w:w="2563"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right"/>
              <w:rPr>
                <w:rFonts w:ascii="宋体" w:hAnsi="Times New Roman" w:cs="宋体"/>
                <w:color w:val="000000"/>
                <w:kern w:val="0"/>
                <w:sz w:val="24"/>
                <w:szCs w:val="24"/>
              </w:rPr>
            </w:pPr>
          </w:p>
        </w:tc>
        <w:tc>
          <w:tcPr>
            <w:tcW w:w="2160" w:type="dxa"/>
            <w:tcBorders>
              <w:top w:val="nil"/>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r>
      <w:tr>
        <w:tblPrEx>
          <w:tblCellMar>
            <w:top w:w="0" w:type="dxa"/>
            <w:left w:w="30" w:type="dxa"/>
            <w:bottom w:w="0" w:type="dxa"/>
            <w:right w:w="30" w:type="dxa"/>
          </w:tblCellMar>
        </w:tblPrEx>
        <w:trPr>
          <w:trHeight w:val="533"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工作单位</w:t>
            </w:r>
          </w:p>
        </w:tc>
        <w:tc>
          <w:tcPr>
            <w:tcW w:w="2304" w:type="dxa"/>
            <w:tcBorders>
              <w:top w:val="single" w:color="auto" w:sz="2" w:space="0"/>
              <w:left w:val="single" w:color="auto" w:sz="6" w:space="0"/>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1548" w:type="dxa"/>
            <w:tcBorders>
              <w:top w:val="single" w:color="auto" w:sz="2" w:space="0"/>
              <w:left w:val="nil"/>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2563" w:type="dxa"/>
            <w:tcBorders>
              <w:top w:val="single" w:color="auto" w:sz="2" w:space="0"/>
              <w:left w:val="nil"/>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2160" w:type="dxa"/>
            <w:tcBorders>
              <w:top w:val="single" w:color="auto" w:sz="2" w:space="0"/>
              <w:left w:val="nil"/>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r>
      <w:tr>
        <w:tblPrEx>
          <w:tblCellMar>
            <w:top w:w="0" w:type="dxa"/>
            <w:left w:w="30" w:type="dxa"/>
            <w:bottom w:w="0" w:type="dxa"/>
            <w:right w:w="30" w:type="dxa"/>
          </w:tblCellMar>
        </w:tblPrEx>
        <w:trPr>
          <w:trHeight w:val="533"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职务</w:t>
            </w:r>
            <w:r>
              <w:rPr>
                <w:rFonts w:ascii="宋体" w:hAnsi="Times New Roman" w:cs="宋体"/>
                <w:color w:val="000000"/>
                <w:kern w:val="0"/>
                <w:sz w:val="24"/>
                <w:szCs w:val="24"/>
              </w:rPr>
              <w:t>/</w:t>
            </w:r>
            <w:r>
              <w:rPr>
                <w:rFonts w:hint="eastAsia" w:ascii="宋体" w:hAnsi="Times New Roman" w:cs="宋体"/>
                <w:color w:val="000000"/>
                <w:kern w:val="0"/>
                <w:sz w:val="24"/>
                <w:szCs w:val="24"/>
              </w:rPr>
              <w:t>职称</w:t>
            </w:r>
          </w:p>
        </w:tc>
        <w:tc>
          <w:tcPr>
            <w:tcW w:w="2304" w:type="dxa"/>
            <w:tcBorders>
              <w:top w:val="single" w:color="auto" w:sz="2" w:space="0"/>
              <w:left w:val="single" w:color="auto" w:sz="6" w:space="0"/>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1548" w:type="dxa"/>
            <w:tcBorders>
              <w:top w:val="single" w:color="auto" w:sz="2" w:space="0"/>
              <w:left w:val="nil"/>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2563" w:type="dxa"/>
            <w:tcBorders>
              <w:top w:val="single" w:color="auto" w:sz="2" w:space="0"/>
              <w:left w:val="nil"/>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2160" w:type="dxa"/>
            <w:tcBorders>
              <w:top w:val="single" w:color="auto" w:sz="2" w:space="0"/>
              <w:left w:val="nil"/>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r>
      <w:tr>
        <w:tblPrEx>
          <w:tblCellMar>
            <w:top w:w="0" w:type="dxa"/>
            <w:left w:w="30" w:type="dxa"/>
            <w:bottom w:w="0" w:type="dxa"/>
            <w:right w:w="30" w:type="dxa"/>
          </w:tblCellMar>
        </w:tblPrEx>
        <w:trPr>
          <w:trHeight w:val="1282"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hint="eastAsia"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专业领域</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（多选）</w:t>
            </w:r>
          </w:p>
        </w:tc>
        <w:tc>
          <w:tcPr>
            <w:tcW w:w="8575" w:type="dxa"/>
            <w:gridSpan w:val="4"/>
            <w:tcBorders>
              <w:top w:val="single" w:color="auto" w:sz="2" w:space="0"/>
              <w:left w:val="single" w:color="auto" w:sz="6" w:space="0"/>
              <w:bottom w:val="single" w:color="auto" w:sz="2" w:space="0"/>
              <w:right w:val="single" w:color="auto" w:sz="6" w:space="0"/>
            </w:tcBorders>
          </w:tcPr>
          <w:p>
            <w:pPr>
              <w:autoSpaceDE w:val="0"/>
              <w:autoSpaceDN w:val="0"/>
              <w:adjustRightInd w:val="0"/>
              <w:jc w:val="left"/>
              <w:rPr>
                <w:rFonts w:ascii="宋体" w:hAnsi="Times New Roman" w:cs="宋体"/>
                <w:color w:val="000000"/>
                <w:kern w:val="0"/>
                <w:sz w:val="24"/>
                <w:szCs w:val="24"/>
              </w:rPr>
            </w:pPr>
            <w:r>
              <w:rPr>
                <w:rFonts w:hint="eastAsia" w:ascii="宋体" w:hAnsi="Times New Roman" w:cs="宋体"/>
                <w:color w:val="000000"/>
                <w:kern w:val="0"/>
                <w:sz w:val="24"/>
                <w:szCs w:val="24"/>
              </w:rPr>
              <w:t>□防范不良网贷</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□信贷知识</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□消费者权益保护</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□银行卡</w:t>
            </w:r>
          </w:p>
          <w:p>
            <w:pPr>
              <w:autoSpaceDE w:val="0"/>
              <w:autoSpaceDN w:val="0"/>
              <w:adjustRightInd w:val="0"/>
              <w:jc w:val="left"/>
              <w:rPr>
                <w:rFonts w:ascii="宋体" w:hAnsi="Times New Roman" w:cs="宋体"/>
                <w:color w:val="000000"/>
                <w:kern w:val="0"/>
                <w:sz w:val="24"/>
                <w:szCs w:val="24"/>
              </w:rPr>
            </w:pPr>
            <w:r>
              <w:rPr>
                <w:rFonts w:hint="eastAsia" w:ascii="宋体" w:hAnsi="Times New Roman" w:cs="宋体"/>
                <w:color w:val="000000"/>
                <w:kern w:val="0"/>
                <w:sz w:val="24"/>
                <w:szCs w:val="24"/>
              </w:rPr>
              <w:t>□电子金融</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□金融理财</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□防范金融诈骗</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□货币知识</w:t>
            </w:r>
          </w:p>
          <w:p>
            <w:pPr>
              <w:autoSpaceDE w:val="0"/>
              <w:autoSpaceDN w:val="0"/>
              <w:adjustRightInd w:val="0"/>
              <w:jc w:val="left"/>
              <w:rPr>
                <w:rFonts w:ascii="宋体" w:hAnsi="Times New Roman" w:cs="宋体"/>
                <w:color w:val="000000"/>
                <w:kern w:val="0"/>
                <w:sz w:val="24"/>
                <w:szCs w:val="24"/>
              </w:rPr>
            </w:pPr>
            <w:r>
              <w:rPr>
                <w:rFonts w:hint="eastAsia" w:ascii="宋体" w:hAnsi="Times New Roman" w:cs="宋体"/>
                <w:color w:val="000000"/>
                <w:kern w:val="0"/>
                <w:sz w:val="24"/>
                <w:szCs w:val="24"/>
              </w:rPr>
              <w:t>□其他</w:t>
            </w:r>
            <w:r>
              <w:rPr>
                <w:rFonts w:ascii="宋体" w:hAnsi="Times New Roman" w:cs="宋体"/>
                <w:color w:val="000000"/>
                <w:kern w:val="0"/>
                <w:sz w:val="24"/>
                <w:szCs w:val="24"/>
                <w:u w:val="single"/>
              </w:rPr>
              <w:t xml:space="preserve">                                                   </w:t>
            </w:r>
            <w:r>
              <w:rPr>
                <w:rFonts w:ascii="宋体" w:hAnsi="Times New Roman" w:cs="宋体"/>
                <w:color w:val="000000"/>
                <w:kern w:val="0"/>
                <w:sz w:val="24"/>
                <w:szCs w:val="24"/>
              </w:rPr>
              <w:t>(</w:t>
            </w:r>
            <w:r>
              <w:rPr>
                <w:rFonts w:hint="eastAsia" w:ascii="宋体" w:hAnsi="Times New Roman" w:cs="宋体"/>
                <w:color w:val="000000"/>
                <w:kern w:val="0"/>
                <w:sz w:val="24"/>
                <w:szCs w:val="24"/>
              </w:rPr>
              <w:t>请填写</w:t>
            </w:r>
            <w:r>
              <w:rPr>
                <w:rFonts w:ascii="宋体" w:hAnsi="Times New Roman" w:cs="宋体"/>
                <w:color w:val="000000"/>
                <w:kern w:val="0"/>
                <w:sz w:val="24"/>
                <w:szCs w:val="24"/>
              </w:rPr>
              <w:t>)</w:t>
            </w:r>
          </w:p>
        </w:tc>
      </w:tr>
      <w:tr>
        <w:tblPrEx>
          <w:tblCellMar>
            <w:top w:w="0" w:type="dxa"/>
            <w:left w:w="30" w:type="dxa"/>
            <w:bottom w:w="0" w:type="dxa"/>
            <w:right w:w="30" w:type="dxa"/>
          </w:tblCellMar>
        </w:tblPrEx>
        <w:trPr>
          <w:trHeight w:val="3714" w:hRule="atLeast"/>
        </w:trPr>
        <w:tc>
          <w:tcPr>
            <w:tcW w:w="1469" w:type="dxa"/>
            <w:tcBorders>
              <w:top w:val="single" w:color="auto" w:sz="2" w:space="0"/>
              <w:left w:val="single" w:color="auto" w:sz="6" w:space="0"/>
              <w:bottom w:val="single" w:color="auto" w:sz="2" w:space="0"/>
              <w:right w:val="single" w:color="auto" w:sz="6" w:space="0"/>
            </w:tcBorders>
          </w:tcPr>
          <w:p>
            <w:pPr>
              <w:autoSpaceDE w:val="0"/>
              <w:autoSpaceDN w:val="0"/>
              <w:adjustRightInd w:val="0"/>
              <w:jc w:val="center"/>
              <w:rPr>
                <w:rFonts w:hint="eastAsia" w:ascii="宋体" w:hAnsi="Times New Roman" w:cs="宋体"/>
                <w:color w:val="000000"/>
                <w:kern w:val="0"/>
                <w:sz w:val="24"/>
                <w:szCs w:val="24"/>
              </w:rPr>
            </w:pPr>
          </w:p>
          <w:p>
            <w:pPr>
              <w:autoSpaceDE w:val="0"/>
              <w:autoSpaceDN w:val="0"/>
              <w:adjustRightInd w:val="0"/>
              <w:jc w:val="center"/>
              <w:rPr>
                <w:rFonts w:hint="eastAsia" w:ascii="宋体" w:hAnsi="Times New Roman" w:cs="宋体"/>
                <w:color w:val="000000"/>
                <w:kern w:val="0"/>
                <w:sz w:val="24"/>
                <w:szCs w:val="24"/>
              </w:rPr>
            </w:pPr>
          </w:p>
          <w:p>
            <w:pPr>
              <w:autoSpaceDE w:val="0"/>
              <w:autoSpaceDN w:val="0"/>
              <w:adjustRightInd w:val="0"/>
              <w:jc w:val="center"/>
              <w:rPr>
                <w:rFonts w:hint="eastAsia" w:ascii="宋体" w:hAnsi="Times New Roman" w:cs="宋体"/>
                <w:color w:val="000000"/>
                <w:kern w:val="0"/>
                <w:sz w:val="24"/>
                <w:szCs w:val="24"/>
              </w:rPr>
            </w:pPr>
          </w:p>
          <w:p>
            <w:pPr>
              <w:autoSpaceDE w:val="0"/>
              <w:autoSpaceDN w:val="0"/>
              <w:adjustRightInd w:val="0"/>
              <w:jc w:val="center"/>
              <w:rPr>
                <w:rFonts w:hint="eastAsia"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个</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人</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简</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历</w:t>
            </w:r>
          </w:p>
        </w:tc>
        <w:tc>
          <w:tcPr>
            <w:tcW w:w="2304" w:type="dxa"/>
            <w:tcBorders>
              <w:top w:val="single" w:color="auto" w:sz="2" w:space="0"/>
              <w:left w:val="single" w:color="auto" w:sz="6" w:space="0"/>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1548" w:type="dxa"/>
            <w:tcBorders>
              <w:top w:val="single" w:color="auto" w:sz="2" w:space="0"/>
              <w:left w:val="nil"/>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2563" w:type="dxa"/>
            <w:tcBorders>
              <w:top w:val="single" w:color="auto" w:sz="2" w:space="0"/>
              <w:left w:val="nil"/>
              <w:bottom w:val="single" w:color="auto" w:sz="2" w:space="0"/>
              <w:right w:val="nil"/>
            </w:tcBorders>
          </w:tcPr>
          <w:p>
            <w:pPr>
              <w:autoSpaceDE w:val="0"/>
              <w:autoSpaceDN w:val="0"/>
              <w:adjustRightInd w:val="0"/>
              <w:jc w:val="center"/>
              <w:rPr>
                <w:rFonts w:ascii="宋体" w:hAnsi="Times New Roman" w:cs="宋体"/>
                <w:color w:val="000000"/>
                <w:kern w:val="0"/>
                <w:sz w:val="24"/>
                <w:szCs w:val="24"/>
              </w:rPr>
            </w:pPr>
          </w:p>
        </w:tc>
        <w:tc>
          <w:tcPr>
            <w:tcW w:w="2160" w:type="dxa"/>
            <w:tcBorders>
              <w:top w:val="single" w:color="auto" w:sz="2" w:space="0"/>
              <w:left w:val="nil"/>
              <w:bottom w:val="single" w:color="auto" w:sz="2" w:space="0"/>
              <w:right w:val="single" w:color="auto" w:sz="6" w:space="0"/>
            </w:tcBorders>
          </w:tcPr>
          <w:p>
            <w:pPr>
              <w:autoSpaceDE w:val="0"/>
              <w:autoSpaceDN w:val="0"/>
              <w:adjustRightInd w:val="0"/>
              <w:jc w:val="center"/>
              <w:rPr>
                <w:rFonts w:ascii="宋体" w:hAnsi="Times New Roman" w:cs="宋体"/>
                <w:color w:val="000000"/>
                <w:kern w:val="0"/>
                <w:sz w:val="24"/>
                <w:szCs w:val="24"/>
              </w:rPr>
            </w:pPr>
          </w:p>
        </w:tc>
      </w:tr>
      <w:tr>
        <w:tblPrEx>
          <w:tblCellMar>
            <w:top w:w="0" w:type="dxa"/>
            <w:left w:w="30" w:type="dxa"/>
            <w:bottom w:w="0" w:type="dxa"/>
            <w:right w:w="30" w:type="dxa"/>
          </w:tblCellMar>
        </w:tblPrEx>
        <w:trPr>
          <w:trHeight w:val="2693" w:hRule="atLeast"/>
        </w:trPr>
        <w:tc>
          <w:tcPr>
            <w:tcW w:w="1469" w:type="dxa"/>
            <w:tcBorders>
              <w:top w:val="single" w:color="auto" w:sz="2" w:space="0"/>
              <w:left w:val="single" w:color="auto" w:sz="6" w:space="0"/>
              <w:bottom w:val="single" w:color="auto" w:sz="6" w:space="0"/>
              <w:right w:val="single" w:color="auto" w:sz="6" w:space="0"/>
            </w:tcBorders>
          </w:tcPr>
          <w:p>
            <w:pPr>
              <w:autoSpaceDE w:val="0"/>
              <w:autoSpaceDN w:val="0"/>
              <w:adjustRightInd w:val="0"/>
              <w:jc w:val="center"/>
              <w:rPr>
                <w:rFonts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工</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作</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单</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位</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意</w:t>
            </w:r>
          </w:p>
          <w:p>
            <w:pPr>
              <w:autoSpaceDE w:val="0"/>
              <w:autoSpaceDN w:val="0"/>
              <w:adjustRightInd w:val="0"/>
              <w:jc w:val="center"/>
              <w:rPr>
                <w:rFonts w:ascii="宋体" w:hAnsi="Times New Roman" w:cs="宋体"/>
                <w:color w:val="000000"/>
                <w:kern w:val="0"/>
                <w:sz w:val="24"/>
                <w:szCs w:val="24"/>
              </w:rPr>
            </w:pPr>
            <w:r>
              <w:rPr>
                <w:rFonts w:hint="eastAsia" w:ascii="宋体" w:hAnsi="Times New Roman" w:cs="宋体"/>
                <w:color w:val="000000"/>
                <w:kern w:val="0"/>
                <w:sz w:val="24"/>
                <w:szCs w:val="24"/>
              </w:rPr>
              <w:t>见</w:t>
            </w:r>
          </w:p>
          <w:p>
            <w:pPr>
              <w:autoSpaceDE w:val="0"/>
              <w:autoSpaceDN w:val="0"/>
              <w:adjustRightInd w:val="0"/>
              <w:jc w:val="center"/>
              <w:rPr>
                <w:rFonts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p>
        </w:tc>
        <w:tc>
          <w:tcPr>
            <w:tcW w:w="8575" w:type="dxa"/>
            <w:gridSpan w:val="4"/>
            <w:tcBorders>
              <w:top w:val="single" w:color="auto" w:sz="2" w:space="0"/>
              <w:left w:val="single" w:color="auto" w:sz="6" w:space="0"/>
              <w:bottom w:val="single" w:color="auto" w:sz="6" w:space="0"/>
              <w:right w:val="single" w:color="auto" w:sz="6" w:space="0"/>
            </w:tcBorders>
          </w:tcPr>
          <w:p>
            <w:pPr>
              <w:autoSpaceDE w:val="0"/>
              <w:autoSpaceDN w:val="0"/>
              <w:adjustRightInd w:val="0"/>
              <w:jc w:val="center"/>
              <w:rPr>
                <w:rFonts w:ascii="宋体" w:hAnsi="Times New Roman" w:cs="宋体"/>
                <w:color w:val="000000"/>
                <w:kern w:val="0"/>
                <w:sz w:val="24"/>
                <w:szCs w:val="24"/>
              </w:rPr>
            </w:pPr>
            <w:r>
              <w:rPr>
                <w:rFonts w:ascii="宋体" w:hAnsi="Times New Roman" w:cs="宋体"/>
                <w:color w:val="000000"/>
                <w:kern w:val="0"/>
                <w:sz w:val="24"/>
                <w:szCs w:val="24"/>
              </w:rPr>
              <w:t xml:space="preserve"> </w:t>
            </w:r>
          </w:p>
          <w:p>
            <w:pPr>
              <w:autoSpaceDE w:val="0"/>
              <w:autoSpaceDN w:val="0"/>
              <w:adjustRightInd w:val="0"/>
              <w:jc w:val="center"/>
              <w:rPr>
                <w:rFonts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r>
              <w:rPr>
                <w:rFonts w:ascii="宋体" w:hAnsi="Times New Roman" w:cs="宋体"/>
                <w:color w:val="000000"/>
                <w:kern w:val="0"/>
                <w:sz w:val="24"/>
                <w:szCs w:val="24"/>
              </w:rPr>
              <w:t xml:space="preserve">         </w:t>
            </w:r>
          </w:p>
          <w:p>
            <w:pPr>
              <w:autoSpaceDE w:val="0"/>
              <w:autoSpaceDN w:val="0"/>
              <w:adjustRightInd w:val="0"/>
              <w:jc w:val="center"/>
              <w:rPr>
                <w:rFonts w:ascii="宋体" w:hAnsi="Times New Roman" w:cs="宋体"/>
                <w:color w:val="000000"/>
                <w:kern w:val="0"/>
                <w:sz w:val="24"/>
                <w:szCs w:val="24"/>
              </w:rPr>
            </w:pP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（盖章）</w:t>
            </w:r>
          </w:p>
          <w:p>
            <w:pPr>
              <w:autoSpaceDE w:val="0"/>
              <w:autoSpaceDN w:val="0"/>
              <w:adjustRightInd w:val="0"/>
              <w:jc w:val="center"/>
              <w:rPr>
                <w:rFonts w:ascii="宋体" w:hAnsi="Times New Roman" w:cs="宋体"/>
                <w:color w:val="000000"/>
                <w:kern w:val="0"/>
                <w:sz w:val="24"/>
                <w:szCs w:val="24"/>
              </w:rPr>
            </w:pPr>
          </w:p>
          <w:p>
            <w:pPr>
              <w:autoSpaceDE w:val="0"/>
              <w:autoSpaceDN w:val="0"/>
              <w:adjustRightInd w:val="0"/>
              <w:jc w:val="center"/>
              <w:rPr>
                <w:rFonts w:ascii="宋体" w:hAnsi="Times New Roman" w:cs="宋体"/>
                <w:color w:val="000000"/>
                <w:kern w:val="0"/>
                <w:sz w:val="24"/>
                <w:szCs w:val="24"/>
              </w:rPr>
            </w:pP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年</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月</w:t>
            </w:r>
            <w:r>
              <w:rPr>
                <w:rFonts w:ascii="宋体" w:hAnsi="Times New Roman" w:cs="宋体"/>
                <w:color w:val="000000"/>
                <w:kern w:val="0"/>
                <w:sz w:val="24"/>
                <w:szCs w:val="24"/>
              </w:rPr>
              <w:t xml:space="preserve">      </w:t>
            </w:r>
            <w:r>
              <w:rPr>
                <w:rFonts w:hint="eastAsia" w:ascii="宋体" w:hAnsi="Times New Roman" w:cs="宋体"/>
                <w:color w:val="000000"/>
                <w:kern w:val="0"/>
                <w:sz w:val="24"/>
                <w:szCs w:val="24"/>
              </w:rPr>
              <w:t>日</w:t>
            </w:r>
          </w:p>
        </w:tc>
      </w:tr>
    </w:tbl>
    <w:p>
      <w:pPr>
        <w:spacing w:line="540" w:lineRule="exact"/>
        <w:rPr>
          <w:rFonts w:ascii="仿宋" w:hAnsi="仿宋" w:eastAsia="仿宋"/>
          <w:sz w:val="32"/>
          <w:szCs w:val="32"/>
        </w:rPr>
      </w:pPr>
    </w:p>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73DB6"/>
    <w:rsid w:val="00130544"/>
    <w:rsid w:val="00172A27"/>
    <w:rsid w:val="00195339"/>
    <w:rsid w:val="001B18C7"/>
    <w:rsid w:val="005B06D0"/>
    <w:rsid w:val="005B0DE8"/>
    <w:rsid w:val="007E732F"/>
    <w:rsid w:val="00871DD6"/>
    <w:rsid w:val="008B73C6"/>
    <w:rsid w:val="009277EA"/>
    <w:rsid w:val="00A67027"/>
    <w:rsid w:val="00BE3E41"/>
    <w:rsid w:val="00BF03F6"/>
    <w:rsid w:val="00C74D2C"/>
    <w:rsid w:val="00CE3640"/>
    <w:rsid w:val="00D55F60"/>
    <w:rsid w:val="00DA3BCE"/>
    <w:rsid w:val="00EC0B16"/>
    <w:rsid w:val="00F53EDD"/>
    <w:rsid w:val="079F680F"/>
    <w:rsid w:val="0B5075BE"/>
    <w:rsid w:val="1091203B"/>
    <w:rsid w:val="1571543C"/>
    <w:rsid w:val="162D195B"/>
    <w:rsid w:val="1CA62F10"/>
    <w:rsid w:val="1FEF5F1C"/>
    <w:rsid w:val="24BC62C9"/>
    <w:rsid w:val="27AA1A8E"/>
    <w:rsid w:val="2C55584A"/>
    <w:rsid w:val="2CAE5ED9"/>
    <w:rsid w:val="2CD075EC"/>
    <w:rsid w:val="2EE161F9"/>
    <w:rsid w:val="2EEB458A"/>
    <w:rsid w:val="2F835A02"/>
    <w:rsid w:val="30336A9F"/>
    <w:rsid w:val="303D4E30"/>
    <w:rsid w:val="351D0231"/>
    <w:rsid w:val="37FF15EF"/>
    <w:rsid w:val="3F4A37E5"/>
    <w:rsid w:val="448C1D82"/>
    <w:rsid w:val="478E1476"/>
    <w:rsid w:val="4961356F"/>
    <w:rsid w:val="4AC30EF6"/>
    <w:rsid w:val="4F7C2E75"/>
    <w:rsid w:val="55AC6E9D"/>
    <w:rsid w:val="5E613996"/>
    <w:rsid w:val="65927733"/>
    <w:rsid w:val="748B5DC2"/>
    <w:rsid w:val="7C42096C"/>
    <w:rsid w:val="7F700B2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Emphasis"/>
    <w:basedOn w:val="6"/>
    <w:qFormat/>
    <w:uiPriority w:val="20"/>
    <w:rPr>
      <w:i/>
      <w:iCs/>
    </w:rPr>
  </w:style>
  <w:style w:type="character" w:styleId="8">
    <w:name w:val="Hyperlink"/>
    <w:basedOn w:val="6"/>
    <w:unhideWhenUsed/>
    <w:qFormat/>
    <w:uiPriority w:val="99"/>
    <w:rPr>
      <w:color w:val="0000FF"/>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B454B-10E8-4341-BF51-C19828722DF2}">
  <ds:schemaRefs/>
</ds:datastoreItem>
</file>

<file path=docProps/app.xml><?xml version="1.0" encoding="utf-8"?>
<Properties xmlns="http://schemas.openxmlformats.org/officeDocument/2006/extended-properties" xmlns:vt="http://schemas.openxmlformats.org/officeDocument/2006/docPropsVTypes">
  <Template>Normal.dotm</Template>
  <Pages>6</Pages>
  <Words>485</Words>
  <Characters>2765</Characters>
  <Lines>23</Lines>
  <Paragraphs>6</Paragraphs>
  <TotalTime>36</TotalTime>
  <ScaleCrop>false</ScaleCrop>
  <LinksUpToDate>false</LinksUpToDate>
  <CharactersWithSpaces>3244</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2017-03-16T08:52:00Z</dcterms:created>
  <dc:creator>123456</dc:creator>
  <cp:lastModifiedBy>user</cp:lastModifiedBy>
  <cp:lastPrinted>2017-05-16T08:30:00Z</cp:lastPrinted>
  <dcterms:modified xsi:type="dcterms:W3CDTF">2025-05-14T02:15:57Z</dcterms:modified>
  <dc:title>福建省高校“金融知识校园行”系列教育</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AFCE772E41884288B79A772CD86531E6</vt:lpwstr>
  </property>
</Properties>
</file>